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59" w:after="160"/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t xml:space="preserve">Tematyka zajęć</w:t>
      </w: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  <w:lang w:val="pl-PL"/>
        </w:rPr>
        <w:t xml:space="preserve"> WDŻ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1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klasa 4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1. Wspólnota domu, serca i myśli – funkcje rodziny 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2. Witaj w domu – funkcje prokreacyjna i opiekuńcza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3. Zasady i normy – funkcje wychowawcza i socjalizacyjna 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4. Miłość, która scala – funkcje psychiczno-uczuciowa i kontrolna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5. Jesteśmy razem – funkcje rekreacyjno-towarzyska, kulturowa i ekonomiczna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6. Człowiek – istota płciowa 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7. Przekazywanie życia - lekcja dla dziewcząt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8. Przekazywanie życia - lekcja dla chłopców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9. U progu dojrzewania - lekcja dla dziewcząt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10. U progu dojrzewania - lekcja dla chłopców</w:t>
      </w:r>
    </w:p>
    <w:p>
      <w:pPr>
        <w:bidi w:val="0"/>
        <w:numPr>
          <w:ilvl w:val="0"/>
          <w:numId w:val="1"/>
        </w:numPr>
        <w:jc w:val="left"/>
        <w:spacing w:lineRule="auto" w:line="240" w:before="240" w:beforeAutospacing="0" w:after="60" w:afterAutospacing="0"/>
        <w:pageBreakBefore w:val="0"/>
        <w:ind w:left="432" w:right="0" w:hanging="432"/>
        <w:tabs>
          <w:tab w:val="left" w:pos="0"/>
        </w:tabs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outlineLvl w:val="1"/>
        <w:wordWrap w:val="1"/>
        <w:snapToGrid w:val="off"/>
        <w:autoSpaceDE w:val="1"/>
        <w:autoSpaceDN w:val="1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11/12. Rodzi się dziecko - lekcja osobno dla dziewcząt i chłopców</w:t>
      </w:r>
    </w:p>
    <w:p>
      <w:pPr>
        <w:bidi w:val="0"/>
        <w:numPr>
          <w:ilvl w:val="0"/>
          <w:numId w:val="1"/>
        </w:numPr>
        <w:jc w:val="left"/>
        <w:spacing w:lineRule="auto" w:line="240" w:before="240" w:beforeAutospacing="0" w:after="60" w:afterAutospacing="0"/>
        <w:pageBreakBefore w:val="0"/>
        <w:ind w:left="432" w:right="0" w:hanging="432"/>
        <w:tabs>
          <w:tab w:val="left" w:pos="0"/>
        </w:tabs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outlineLvl w:val="1"/>
        <w:wordWrap w:val="1"/>
        <w:snapToGrid w:val="off"/>
        <w:autoSpaceDE w:val="1"/>
        <w:autoSpaceDN w:val="1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13/14. Intymność - lekcja osobno dla dziewcząt i chłopców</w:t>
      </w:r>
    </w:p>
    <w:p>
      <w:pPr>
        <w:bidi w:val="0"/>
        <w:numPr>
          <w:ilvl w:val="0"/>
          <w:numId w:val="1"/>
        </w:numPr>
        <w:jc w:val="left"/>
        <w:spacing w:lineRule="auto" w:line="240" w:before="240" w:beforeAutospacing="0" w:after="60" w:afterAutospacing="0"/>
        <w:pageBreakBefore w:val="0"/>
        <w:ind w:left="432" w:right="0" w:hanging="432"/>
        <w:tabs>
          <w:tab w:val="left" w:pos="0"/>
        </w:tabs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outlineLvl w:val="1"/>
        <w:wordWrap w:val="1"/>
        <w:snapToGrid w:val="off"/>
        <w:autoSpaceDE w:val="1"/>
        <w:autoSpaceDN w:val="1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15/16. Obrona własnej intymności - lekcja osobno dla dziewcząt i chłopców</w:t>
      </w:r>
    </w:p>
    <w:p>
      <w:pPr>
        <w:bidi w:val="0"/>
        <w:numPr>
          <w:ilvl w:val="0"/>
          <w:numId w:val="1"/>
        </w:numPr>
        <w:jc w:val="left"/>
        <w:spacing w:lineRule="auto" w:line="240" w:before="240" w:beforeAutospacing="0" w:after="60" w:afterAutospacing="0"/>
        <w:pageBreakBefore w:val="0"/>
        <w:ind w:left="432" w:right="0" w:hanging="432"/>
        <w:tabs>
          <w:tab w:val="left" w:pos="0"/>
        </w:tabs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outlineLvl w:val="1"/>
        <w:wordWrap w:val="1"/>
        <w:snapToGrid w:val="off"/>
        <w:autoSpaceDE w:val="1"/>
        <w:autoSpaceDN w:val="1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17. Koleżeństwo </w:t>
      </w:r>
    </w:p>
    <w:p>
      <w:pPr>
        <w:bidi w:val="0"/>
        <w:numPr>
          <w:ilvl w:val="0"/>
          <w:numId w:val="1"/>
        </w:numPr>
        <w:jc w:val="left"/>
        <w:spacing w:lineRule="auto" w:line="240" w:before="240" w:beforeAutospacing="0" w:after="60" w:afterAutospacing="0"/>
        <w:pageBreakBefore w:val="0"/>
        <w:ind w:left="432" w:right="0" w:hanging="432"/>
        <w:tabs>
          <w:tab w:val="left" w:pos="0"/>
        </w:tabs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outlineLvl w:val="1"/>
        <w:wordWrap w:val="1"/>
        <w:snapToGrid w:val="off"/>
        <w:autoSpaceDE w:val="1"/>
        <w:autoSpaceDN w:val="1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18. Dobre wychowanie</w:t>
      </w:r>
    </w:p>
    <w:p>
      <w:pPr>
        <w:bidi w:val="0"/>
        <w:numPr>
          <w:ilvl w:val="0"/>
          <w:numId w:val="1"/>
        </w:numPr>
        <w:jc w:val="left"/>
        <w:spacing w:lineRule="auto" w:line="240" w:before="240" w:beforeAutospacing="0" w:after="60" w:afterAutospacing="0"/>
        <w:pageBreakBefore w:val="0"/>
        <w:ind w:left="432" w:right="0" w:hanging="432"/>
        <w:tabs>
          <w:tab w:val="left" w:pos="0"/>
        </w:tabs>
        <w:rPr>
          <w:color w:val="auto"/>
          <w:sz w:val="24"/>
          <w:szCs w:val="24"/>
          <w:rFonts w:ascii="Times New Roman" w:eastAsia="Times New Roman" w:hAnsi="Times New Roman" w:cs="Times New Roman"/>
        </w:rPr>
        <w:outlineLvl w:val="1"/>
        <w:wordWrap w:val="1"/>
        <w:snapToGrid w:val="off"/>
        <w:autoSpaceDE w:val="1"/>
        <w:autoSpaceDN w:val="1"/>
      </w:pP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19. Internet – świat prawdziwy czy nieprawdziwy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klasa 5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1. O rodzinie i nie tylko, czyli tematyka naszych spotkań.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2. Gdy rodzina się powiększa- funkcja prokreacyjna i opiekuńcza.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3. Nie jesteście sami- funkcja wychowawcza i psychiczno-uczuciowa rodziny.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4. Domowa księgowość- funkcja ekonomiczna i rekreacyjno- towarzyska rodziny.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5. ”Cześć”czy „Dzień dobry”?- funkcja socjalizacyjna, kulturowa oraz integracyjno-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kontrolna rodziny.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6. Gdy zdarzają się problemy, gdzie szukać  pomocy?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7. Człowiek –istota płciowa.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8. U progu dojrzewania.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9. Burza hormonalna i huśtawka nastrojów.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10. Już się zmieniam, staję  się kobietą-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10. Czekają mnie zmiany, staję się mężczyzną-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11. Żeński układ rozrodczy- budowa i funkcjonowanie-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11. Męski układ rozrodczy- budowa i funkcjonowanie-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12. Co się ze mną dzieje?-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12. Co się ze mną dzieje-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13. Rodzi się dziecko-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13. Rodzi się dziecko-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14. Sfera intymności- sferą bezpieczeństwa-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14. Sfera intymności – sferą bezpieczeństwa-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klasa 6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1. O budowaniu bliskich relacji w rodzinie.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2. Jak mówić i słuchać , czyli o komunikacji w rodzinie.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3. Konflikty- jak je rozwiązywać?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4. Czas wolny- jak go wykorzystać? Świętowanie.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5. Wśród kolegów i koleżanek.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6. Radość z przyjaźni.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7. ”Nie ma na tym świecie rzeczy doskonałych”, czyli o elektronicznych mediach.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8. Cyberprzemoc- jak nie zostać jej ofiarą?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9. Co się w życiu liczy? Plany małe i duże  . 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10. Czego jeszcze nie wiem, nie pamiętam…- powtórka z dojrzewania-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10. Czego jeszcze nie wiem, nie pamiętam…- powtórka z dojrzewania-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11. Nastolatki przed lustrem. Uroda, higiena , zdrowie-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11. Higiena i zdrowie nastolatka-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12 .Jedzenie wrogiem? Nastolatka i właściwe odżywianie-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12. Zwycięstwo czy porażka, czyli jak spożytkować młodzieńczą energię?-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>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13. Obrona własnej intymności-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13. Obrona własnej intymności-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14. Media, a moje miejsce w świecie-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dziewcząt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14. Media, a moje miejsce w świcie- </w:t>
      </w:r>
      <w:r>
        <w:rPr>
          <w:rtl w:val="0"/>
          <w:rStyle w:val="PO7"/>
          <w:spacing w:val="0"/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dla chłopców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klasa 7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 Rozwój człowieka.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2 Dojrzałość, to znaczy.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3 Dojrzewanie – rozwój fizyczny (dla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4 Dojrzewanie – rozwój fizyczny (dla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5 Zmiany psychiczne w okresie dojrzewania (dla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5 Zmiany psychiczne w okresie dojrzewania (dla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7 Pierwsze uczucia.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8 Przekazywanie życia (dla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9 Przekazywanie życia (dla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10 Mężczyzna i kobieta. Układ rozrodczy (dla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11 Mężczyzna i kobieta. Układ rozrodczy (dla grupy chłopców)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12 Czas oczekiwania.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13 Pierwsze kroki w szczęśliwe dzieciństwo (dla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14 Pierwsze kroki w szczęśliwe dzieciństwo (dla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15 Komunikacja w rodzinie.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16 Savoir vivre, czyli zasady dobrego wychowania.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17 Utrata wolności. Zagrożenia. Uzależnienia chemiczne.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18 Uzależnienia behawioralne.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19 Ludzie drogowskazy.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klasa 8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 Budowanie relacji międzyosobowych.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2 Na początek: zakochanie.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3 O etapach i rodzajach miłości.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4 Rozwój psychoseksualny człowieka (lekcja 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5 Rozwój psychoseksualny człowieka (lekcja dla grupy chłopców)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6 Seksualność człowieka (lekcja 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7 Seksualność człowieka (lekcja 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8 Przedwczesna inicjacja seksualna (lekcja 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9 Przedwczesna inicjacja seksualna (lekcja 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10 Choroby przenoszone drogą płciową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11 AIDS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12 Metody rozpoznawania płodności (lekcja 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13 Metody rozpoznawania płodności (lekcja 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14 Antykoncepcja i środki wczesnoporonne (lekcja dla grupy dziewcząt)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15 Antykoncepcja i środki wczesnoporonne (lekcja dla grupy chłopców)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16 Niepłodność i wielkie pragnienie dziecka.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17 Inicjacja seksualna. Czy warto czekać? 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18 Dojrzałość do małżeństwa.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Lekcja 19 Wobec choroby, cierpienia i śmierci.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432" w:right="0" w:hanging="432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1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576" w:right="0" w:hanging="576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2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720" w:right="0" w:hanging="720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3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864" w:right="0" w:hanging="864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4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1008" w:right="0" w:hanging="1008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5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1152" w:right="0" w:hanging="1152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6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1296" w:right="0" w:hanging="1296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7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1440" w:right="0" w:hanging="1440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  <w:lvl w:ilvl="8">
      <w:lvlJc w:val="left"/>
      <w:numFmt w:val="bullet"/>
      <w:start w:val="1"/>
      <w:suff w:val="nothing"/>
      <w:pPr>
        <w:bidi w:val="0"/>
        <w:jc w:val="left"/>
        <w:spacing w:lineRule="auto" w:line="240" w:before="0" w:beforeAutospacing="0" w:after="0" w:afterAutospacing="0"/>
        <w:pageBreakBefore w:val="0"/>
        <w:ind w:left="1584" w:right="0" w:hanging="1584"/>
        <w:tabs>
          <w:tab w:val="left" w:pos="0"/>
        </w:tabs>
        <w:rPr/>
        <w:wordWrap w:val="1"/>
        <w:snapToGrid w:val="off"/>
        <w:autoSpaceDE w:val="1"/>
        <w:autoSpaceDN w:val="1"/>
      </w:pPr>
      <w:rPr>
        <w:rtl w:val="0"/>
        <w:rStyle w:val="PO7"/>
        <w:spacing w:val="0"/>
        <w:color w:val="auto"/>
        <w:sz w:val="20"/>
        <w:szCs w:val="20"/>
        <w:rFonts w:ascii="Segoe UI" w:eastAsia="Segoe UI" w:hAnsi="Segoe UI" w:cs="Segoe UI"/>
      </w:rPr>
      <w:lvlText w:val="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743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darka_89</dc:creator>
  <cp:lastModifiedBy>darka_89</cp:lastModifiedBy>
  <cp:version>9.102.51.41307</cp:version>
</cp:coreProperties>
</file>